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4"/>
        <w:tblW w:w="9639" w:type="dxa"/>
        <w:tblInd w:w="-5" w:type="dxa"/>
        <w:tblLayout w:type="fixed"/>
        <w:tblLook w:val="04A0" w:firstRow="1" w:lastRow="0" w:firstColumn="1" w:lastColumn="0" w:noHBand="0" w:noVBand="1"/>
      </w:tblPr>
      <w:tblGrid>
        <w:gridCol w:w="1843"/>
        <w:gridCol w:w="5670"/>
        <w:gridCol w:w="567"/>
        <w:gridCol w:w="1559"/>
      </w:tblGrid>
      <w:tr w:rsidR="00645264" w:rsidRPr="0067267C" w14:paraId="5A9D6891" w14:textId="77777777" w:rsidTr="00645264">
        <w:trPr>
          <w:trHeight w:val="20"/>
        </w:trPr>
        <w:tc>
          <w:tcPr>
            <w:tcW w:w="1843" w:type="dxa"/>
            <w:vMerge w:val="restart"/>
            <w:tcBorders>
              <w:right w:val="single" w:sz="4" w:space="0" w:color="auto"/>
            </w:tcBorders>
          </w:tcPr>
          <w:p w14:paraId="4C9EC24C" w14:textId="77777777" w:rsidR="00645264" w:rsidRDefault="00645264" w:rsidP="00301191">
            <w:pPr>
              <w:rPr>
                <w:rFonts w:ascii="Times New Roman" w:eastAsia="Calibri" w:hAnsi="Times New Roman" w:cs="Times New Roman"/>
                <w:sz w:val="20"/>
                <w:szCs w:val="20"/>
              </w:rPr>
            </w:pPr>
            <w:r w:rsidRPr="00200006">
              <w:rPr>
                <w:rFonts w:ascii="Times New Roman" w:eastAsia="Calibri" w:hAnsi="Times New Roman" w:cs="Times New Roman"/>
                <w:sz w:val="20"/>
                <w:szCs w:val="20"/>
              </w:rPr>
              <w:t>32.50.50.190-00000336</w:t>
            </w:r>
          </w:p>
          <w:p w14:paraId="0190C264" w14:textId="77777777" w:rsidR="00645264" w:rsidRPr="00BE521D" w:rsidRDefault="00645264" w:rsidP="00301191">
            <w:pPr>
              <w:rPr>
                <w:rFonts w:ascii="Times New Roman" w:eastAsia="Calibri" w:hAnsi="Times New Roman" w:cs="Times New Roman"/>
                <w:sz w:val="20"/>
                <w:szCs w:val="20"/>
              </w:rPr>
            </w:pPr>
            <w:r w:rsidRPr="00200006">
              <w:rPr>
                <w:rFonts w:ascii="Times New Roman" w:eastAsia="Calibri" w:hAnsi="Times New Roman" w:cs="Times New Roman"/>
                <w:sz w:val="20"/>
                <w:szCs w:val="20"/>
              </w:rPr>
              <w:t>Контейнер для стерилизации</w:t>
            </w:r>
          </w:p>
        </w:tc>
        <w:tc>
          <w:tcPr>
            <w:tcW w:w="5670" w:type="dxa"/>
          </w:tcPr>
          <w:p w14:paraId="297E3592"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Емкость, в которую помещают упакованные и/или неупакованные хирургические инструменты (например, ручные инструменты, хирургические приводные дрели, шланги) на время стерилизации и для последующего хранения. Контейнер проницаемый, что позволяет влаге удаляться изнутри по окончании процесса стерилизации, при этом содержимое контейнера остается защищенным от загрязнения. Может иметь маркировку об окончании срока службы, оснащаться стерильным дыхательным фильтром и штабелироваться. Это изделие, пригодное для многоразового использования.</w:t>
            </w:r>
          </w:p>
        </w:tc>
        <w:tc>
          <w:tcPr>
            <w:tcW w:w="567" w:type="dxa"/>
          </w:tcPr>
          <w:p w14:paraId="69D9E134" w14:textId="77777777" w:rsidR="00645264" w:rsidRPr="0067267C" w:rsidRDefault="00645264" w:rsidP="00301191">
            <w:pPr>
              <w:rPr>
                <w:rFonts w:ascii="Times New Roman" w:eastAsia="Calibri" w:hAnsi="Times New Roman" w:cs="Times New Roman"/>
                <w:sz w:val="20"/>
                <w:szCs w:val="20"/>
              </w:rPr>
            </w:pPr>
            <w:proofErr w:type="spellStart"/>
            <w:r w:rsidRPr="0067267C">
              <w:rPr>
                <w:rFonts w:ascii="Times New Roman" w:hAnsi="Times New Roman" w:cs="Times New Roman"/>
                <w:sz w:val="18"/>
                <w:szCs w:val="18"/>
              </w:rPr>
              <w:t>шт</w:t>
            </w:r>
            <w:proofErr w:type="spellEnd"/>
          </w:p>
        </w:tc>
        <w:tc>
          <w:tcPr>
            <w:tcW w:w="1559" w:type="dxa"/>
          </w:tcPr>
          <w:p w14:paraId="66A171F3"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xml:space="preserve">Соответствие </w:t>
            </w:r>
          </w:p>
        </w:tc>
      </w:tr>
      <w:tr w:rsidR="00645264" w:rsidRPr="0067267C" w14:paraId="0DFDE37F" w14:textId="77777777" w:rsidTr="00645264">
        <w:trPr>
          <w:trHeight w:val="20"/>
        </w:trPr>
        <w:tc>
          <w:tcPr>
            <w:tcW w:w="1843" w:type="dxa"/>
            <w:vMerge/>
            <w:tcBorders>
              <w:right w:val="single" w:sz="4" w:space="0" w:color="auto"/>
            </w:tcBorders>
          </w:tcPr>
          <w:p w14:paraId="63C17517" w14:textId="77777777" w:rsidR="00645264" w:rsidRPr="00BE521D" w:rsidRDefault="00645264" w:rsidP="00301191">
            <w:pPr>
              <w:rPr>
                <w:rFonts w:ascii="Times New Roman" w:eastAsia="Calibri" w:hAnsi="Times New Roman" w:cs="Times New Roman"/>
                <w:sz w:val="20"/>
                <w:szCs w:val="20"/>
              </w:rPr>
            </w:pPr>
          </w:p>
        </w:tc>
        <w:tc>
          <w:tcPr>
            <w:tcW w:w="5670" w:type="dxa"/>
          </w:tcPr>
          <w:p w14:paraId="0FB5DB36"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Коробка состоит из корпуса с откидывающейся крышкой, плотное закрывание которой осуществляется с помощью одного замка-фиксатора</w:t>
            </w:r>
          </w:p>
        </w:tc>
        <w:tc>
          <w:tcPr>
            <w:tcW w:w="567" w:type="dxa"/>
          </w:tcPr>
          <w:p w14:paraId="4EA750A7" w14:textId="77777777" w:rsidR="00645264" w:rsidRPr="0067267C" w:rsidRDefault="00645264" w:rsidP="00301191">
            <w:pPr>
              <w:rPr>
                <w:rFonts w:ascii="Times New Roman" w:eastAsia="Calibri" w:hAnsi="Times New Roman" w:cs="Times New Roman"/>
                <w:sz w:val="20"/>
                <w:szCs w:val="20"/>
              </w:rPr>
            </w:pPr>
          </w:p>
        </w:tc>
        <w:tc>
          <w:tcPr>
            <w:tcW w:w="1559" w:type="dxa"/>
          </w:tcPr>
          <w:p w14:paraId="03CDECB1"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64C0DD10" w14:textId="77777777" w:rsidTr="00645264">
        <w:trPr>
          <w:trHeight w:val="20"/>
        </w:trPr>
        <w:tc>
          <w:tcPr>
            <w:tcW w:w="1843" w:type="dxa"/>
            <w:vMerge/>
            <w:tcBorders>
              <w:right w:val="single" w:sz="4" w:space="0" w:color="auto"/>
            </w:tcBorders>
          </w:tcPr>
          <w:p w14:paraId="600D4485" w14:textId="77777777" w:rsidR="00645264" w:rsidRPr="00BE521D" w:rsidRDefault="00645264" w:rsidP="00301191">
            <w:pPr>
              <w:rPr>
                <w:rFonts w:ascii="Times New Roman" w:eastAsia="Calibri" w:hAnsi="Times New Roman" w:cs="Times New Roman"/>
                <w:sz w:val="20"/>
                <w:szCs w:val="20"/>
              </w:rPr>
            </w:pPr>
          </w:p>
        </w:tc>
        <w:tc>
          <w:tcPr>
            <w:tcW w:w="5670" w:type="dxa"/>
          </w:tcPr>
          <w:p w14:paraId="780A83CC"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Герметичность достигается за счет жесткости элементов и плотного прилегания корпуса и крышки без использования изнашиваемых прокладок</w:t>
            </w:r>
          </w:p>
        </w:tc>
        <w:tc>
          <w:tcPr>
            <w:tcW w:w="567" w:type="dxa"/>
          </w:tcPr>
          <w:p w14:paraId="466F0F03" w14:textId="77777777" w:rsidR="00645264" w:rsidRPr="0067267C" w:rsidRDefault="00645264" w:rsidP="00301191">
            <w:pPr>
              <w:rPr>
                <w:rFonts w:ascii="Times New Roman" w:eastAsia="Calibri" w:hAnsi="Times New Roman" w:cs="Times New Roman"/>
                <w:sz w:val="20"/>
                <w:szCs w:val="20"/>
              </w:rPr>
            </w:pPr>
          </w:p>
        </w:tc>
        <w:tc>
          <w:tcPr>
            <w:tcW w:w="1559" w:type="dxa"/>
          </w:tcPr>
          <w:p w14:paraId="2D9FC121"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7C5028F5" w14:textId="77777777" w:rsidTr="00645264">
        <w:trPr>
          <w:trHeight w:val="20"/>
        </w:trPr>
        <w:tc>
          <w:tcPr>
            <w:tcW w:w="1843" w:type="dxa"/>
            <w:vMerge/>
            <w:tcBorders>
              <w:right w:val="single" w:sz="4" w:space="0" w:color="auto"/>
            </w:tcBorders>
          </w:tcPr>
          <w:p w14:paraId="55ED92FE" w14:textId="77777777" w:rsidR="00645264" w:rsidRPr="00BE521D" w:rsidRDefault="00645264" w:rsidP="00301191">
            <w:pPr>
              <w:rPr>
                <w:rFonts w:ascii="Times New Roman" w:eastAsia="Calibri" w:hAnsi="Times New Roman" w:cs="Times New Roman"/>
                <w:sz w:val="20"/>
                <w:szCs w:val="20"/>
              </w:rPr>
            </w:pPr>
          </w:p>
        </w:tc>
        <w:tc>
          <w:tcPr>
            <w:tcW w:w="5670" w:type="dxa"/>
          </w:tcPr>
          <w:p w14:paraId="162CEE7F"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 xml:space="preserve">Корпус и крышка коробки выполнены из коррозионностойкой нержавеющей стали </w:t>
            </w:r>
          </w:p>
        </w:tc>
        <w:tc>
          <w:tcPr>
            <w:tcW w:w="567" w:type="dxa"/>
          </w:tcPr>
          <w:p w14:paraId="54C637E8" w14:textId="77777777" w:rsidR="00645264" w:rsidRPr="0067267C" w:rsidRDefault="00645264" w:rsidP="00301191">
            <w:pPr>
              <w:rPr>
                <w:rFonts w:ascii="Times New Roman" w:eastAsia="Calibri" w:hAnsi="Times New Roman" w:cs="Times New Roman"/>
                <w:sz w:val="20"/>
                <w:szCs w:val="20"/>
              </w:rPr>
            </w:pPr>
          </w:p>
        </w:tc>
        <w:tc>
          <w:tcPr>
            <w:tcW w:w="1559" w:type="dxa"/>
          </w:tcPr>
          <w:p w14:paraId="535B9AD8"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0C2C2F92" w14:textId="77777777" w:rsidTr="00645264">
        <w:trPr>
          <w:trHeight w:val="20"/>
        </w:trPr>
        <w:tc>
          <w:tcPr>
            <w:tcW w:w="1843" w:type="dxa"/>
            <w:vMerge/>
            <w:tcBorders>
              <w:right w:val="single" w:sz="4" w:space="0" w:color="auto"/>
            </w:tcBorders>
          </w:tcPr>
          <w:p w14:paraId="2A402CB3" w14:textId="77777777" w:rsidR="00645264" w:rsidRPr="00BE521D" w:rsidRDefault="00645264" w:rsidP="00301191">
            <w:pPr>
              <w:rPr>
                <w:rFonts w:ascii="Times New Roman" w:eastAsia="Calibri" w:hAnsi="Times New Roman" w:cs="Times New Roman"/>
                <w:sz w:val="20"/>
                <w:szCs w:val="20"/>
              </w:rPr>
            </w:pPr>
          </w:p>
        </w:tc>
        <w:tc>
          <w:tcPr>
            <w:tcW w:w="5670" w:type="dxa"/>
          </w:tcPr>
          <w:p w14:paraId="7AFFA5DE"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Толщина коррозионностойкой нержавеющей стали корпуса и крышки</w:t>
            </w:r>
          </w:p>
        </w:tc>
        <w:tc>
          <w:tcPr>
            <w:tcW w:w="567" w:type="dxa"/>
          </w:tcPr>
          <w:p w14:paraId="3C8B237E" w14:textId="77777777" w:rsidR="00645264" w:rsidRPr="0067267C" w:rsidRDefault="00645264" w:rsidP="00301191">
            <w:pPr>
              <w:rPr>
                <w:rFonts w:ascii="Times New Roman" w:eastAsia="Calibri" w:hAnsi="Times New Roman" w:cs="Times New Roman"/>
                <w:sz w:val="20"/>
                <w:szCs w:val="20"/>
              </w:rPr>
            </w:pPr>
            <w:r w:rsidRPr="0067267C">
              <w:rPr>
                <w:rFonts w:ascii="Times New Roman" w:hAnsi="Times New Roman" w:cs="Times New Roman"/>
                <w:sz w:val="18"/>
                <w:szCs w:val="18"/>
              </w:rPr>
              <w:t>мм</w:t>
            </w:r>
          </w:p>
        </w:tc>
        <w:tc>
          <w:tcPr>
            <w:tcW w:w="1559" w:type="dxa"/>
          </w:tcPr>
          <w:p w14:paraId="40DD7DB4"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xml:space="preserve">≥ 0,5 </w:t>
            </w:r>
            <w:proofErr w:type="gramStart"/>
            <w:r w:rsidRPr="0067267C">
              <w:rPr>
                <w:rFonts w:ascii="Times New Roman" w:hAnsi="Times New Roman" w:cs="Times New Roman"/>
                <w:sz w:val="18"/>
                <w:szCs w:val="18"/>
              </w:rPr>
              <w:t>и  ≤</w:t>
            </w:r>
            <w:proofErr w:type="gramEnd"/>
            <w:r w:rsidRPr="0067267C">
              <w:rPr>
                <w:rFonts w:ascii="Times New Roman" w:hAnsi="Times New Roman" w:cs="Times New Roman"/>
                <w:sz w:val="18"/>
                <w:szCs w:val="18"/>
              </w:rPr>
              <w:t xml:space="preserve">  0,8</w:t>
            </w:r>
          </w:p>
        </w:tc>
      </w:tr>
      <w:tr w:rsidR="00645264" w:rsidRPr="0067267C" w14:paraId="3E22E070" w14:textId="77777777" w:rsidTr="00645264">
        <w:trPr>
          <w:trHeight w:val="20"/>
        </w:trPr>
        <w:tc>
          <w:tcPr>
            <w:tcW w:w="1843" w:type="dxa"/>
            <w:vMerge/>
            <w:tcBorders>
              <w:right w:val="single" w:sz="4" w:space="0" w:color="auto"/>
            </w:tcBorders>
          </w:tcPr>
          <w:p w14:paraId="1629AAF7" w14:textId="77777777" w:rsidR="00645264" w:rsidRPr="00BE521D" w:rsidRDefault="00645264" w:rsidP="00301191">
            <w:pPr>
              <w:rPr>
                <w:rFonts w:ascii="Times New Roman" w:eastAsia="Calibri" w:hAnsi="Times New Roman" w:cs="Times New Roman"/>
                <w:sz w:val="20"/>
                <w:szCs w:val="20"/>
              </w:rPr>
            </w:pPr>
          </w:p>
        </w:tc>
        <w:tc>
          <w:tcPr>
            <w:tcW w:w="5670" w:type="dxa"/>
          </w:tcPr>
          <w:p w14:paraId="57907EAD"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Крышка, дно крышки и прижимы оснащены перфорацией (отверстиями для прохода пара)</w:t>
            </w:r>
          </w:p>
        </w:tc>
        <w:tc>
          <w:tcPr>
            <w:tcW w:w="567" w:type="dxa"/>
          </w:tcPr>
          <w:p w14:paraId="5D588E7C" w14:textId="77777777" w:rsidR="00645264" w:rsidRPr="0067267C" w:rsidRDefault="00645264" w:rsidP="00301191">
            <w:pPr>
              <w:rPr>
                <w:rFonts w:ascii="Times New Roman" w:eastAsia="Calibri" w:hAnsi="Times New Roman" w:cs="Times New Roman"/>
                <w:sz w:val="20"/>
                <w:szCs w:val="20"/>
              </w:rPr>
            </w:pPr>
          </w:p>
        </w:tc>
        <w:tc>
          <w:tcPr>
            <w:tcW w:w="1559" w:type="dxa"/>
          </w:tcPr>
          <w:p w14:paraId="295F0A82"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67165500" w14:textId="77777777" w:rsidTr="00645264">
        <w:trPr>
          <w:trHeight w:val="20"/>
        </w:trPr>
        <w:tc>
          <w:tcPr>
            <w:tcW w:w="1843" w:type="dxa"/>
            <w:vMerge/>
            <w:tcBorders>
              <w:right w:val="single" w:sz="4" w:space="0" w:color="auto"/>
            </w:tcBorders>
          </w:tcPr>
          <w:p w14:paraId="5B08FFE7" w14:textId="77777777" w:rsidR="00645264" w:rsidRPr="00BE521D" w:rsidRDefault="00645264" w:rsidP="00301191">
            <w:pPr>
              <w:rPr>
                <w:rFonts w:ascii="Times New Roman" w:eastAsia="Calibri" w:hAnsi="Times New Roman" w:cs="Times New Roman"/>
                <w:sz w:val="20"/>
                <w:szCs w:val="20"/>
              </w:rPr>
            </w:pPr>
          </w:p>
        </w:tc>
        <w:tc>
          <w:tcPr>
            <w:tcW w:w="5670" w:type="dxa"/>
          </w:tcPr>
          <w:p w14:paraId="034E2B3F"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Для переноса коробки крышка оснащена ручкой</w:t>
            </w:r>
          </w:p>
        </w:tc>
        <w:tc>
          <w:tcPr>
            <w:tcW w:w="567" w:type="dxa"/>
          </w:tcPr>
          <w:p w14:paraId="68DDB9B2" w14:textId="77777777" w:rsidR="00645264" w:rsidRPr="0067267C" w:rsidRDefault="00645264" w:rsidP="00301191">
            <w:pPr>
              <w:rPr>
                <w:rFonts w:ascii="Times New Roman" w:eastAsia="Calibri" w:hAnsi="Times New Roman" w:cs="Times New Roman"/>
                <w:sz w:val="20"/>
                <w:szCs w:val="20"/>
              </w:rPr>
            </w:pPr>
          </w:p>
        </w:tc>
        <w:tc>
          <w:tcPr>
            <w:tcW w:w="1559" w:type="dxa"/>
          </w:tcPr>
          <w:p w14:paraId="1D29C925"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76A7003B" w14:textId="77777777" w:rsidTr="00645264">
        <w:trPr>
          <w:trHeight w:val="20"/>
        </w:trPr>
        <w:tc>
          <w:tcPr>
            <w:tcW w:w="1843" w:type="dxa"/>
            <w:vMerge/>
            <w:tcBorders>
              <w:right w:val="single" w:sz="4" w:space="0" w:color="auto"/>
            </w:tcBorders>
          </w:tcPr>
          <w:p w14:paraId="5EC7C28E" w14:textId="77777777" w:rsidR="00645264" w:rsidRPr="00BE521D" w:rsidRDefault="00645264" w:rsidP="00301191">
            <w:pPr>
              <w:rPr>
                <w:rFonts w:ascii="Times New Roman" w:eastAsia="Calibri" w:hAnsi="Times New Roman" w:cs="Times New Roman"/>
                <w:sz w:val="20"/>
                <w:szCs w:val="20"/>
              </w:rPr>
            </w:pPr>
          </w:p>
        </w:tc>
        <w:tc>
          <w:tcPr>
            <w:tcW w:w="5670" w:type="dxa"/>
          </w:tcPr>
          <w:p w14:paraId="307FAE75"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На основании корпуса размещены три ножки, обеспечивающие зазор для прохода пара</w:t>
            </w:r>
          </w:p>
        </w:tc>
        <w:tc>
          <w:tcPr>
            <w:tcW w:w="567" w:type="dxa"/>
          </w:tcPr>
          <w:p w14:paraId="2D54956C" w14:textId="77777777" w:rsidR="00645264" w:rsidRPr="0067267C" w:rsidRDefault="00645264" w:rsidP="00301191">
            <w:pPr>
              <w:rPr>
                <w:rFonts w:ascii="Times New Roman" w:eastAsia="Calibri" w:hAnsi="Times New Roman" w:cs="Times New Roman"/>
                <w:sz w:val="20"/>
                <w:szCs w:val="20"/>
              </w:rPr>
            </w:pPr>
          </w:p>
        </w:tc>
        <w:tc>
          <w:tcPr>
            <w:tcW w:w="1559" w:type="dxa"/>
          </w:tcPr>
          <w:p w14:paraId="20F51EB0"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731336B7" w14:textId="77777777" w:rsidTr="00645264">
        <w:trPr>
          <w:trHeight w:val="20"/>
        </w:trPr>
        <w:tc>
          <w:tcPr>
            <w:tcW w:w="1843" w:type="dxa"/>
            <w:vMerge/>
            <w:tcBorders>
              <w:right w:val="single" w:sz="4" w:space="0" w:color="auto"/>
            </w:tcBorders>
          </w:tcPr>
          <w:p w14:paraId="7FC0BD68" w14:textId="77777777" w:rsidR="00645264" w:rsidRPr="00BE521D" w:rsidRDefault="00645264" w:rsidP="00301191">
            <w:pPr>
              <w:rPr>
                <w:rFonts w:ascii="Times New Roman" w:eastAsia="Calibri" w:hAnsi="Times New Roman" w:cs="Times New Roman"/>
                <w:sz w:val="20"/>
                <w:szCs w:val="20"/>
              </w:rPr>
            </w:pPr>
          </w:p>
        </w:tc>
        <w:tc>
          <w:tcPr>
            <w:tcW w:w="5670" w:type="dxa"/>
          </w:tcPr>
          <w:p w14:paraId="202F473A"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Герметичность достигается за счет жесткости элементов и плотного прилегания корпуса и крышки без использования изнашиваемых прокладок</w:t>
            </w:r>
          </w:p>
        </w:tc>
        <w:tc>
          <w:tcPr>
            <w:tcW w:w="567" w:type="dxa"/>
            <w:tcBorders>
              <w:top w:val="single" w:sz="4" w:space="0" w:color="auto"/>
              <w:left w:val="single" w:sz="4" w:space="0" w:color="auto"/>
              <w:bottom w:val="single" w:sz="4" w:space="0" w:color="auto"/>
              <w:right w:val="single" w:sz="4" w:space="0" w:color="auto"/>
            </w:tcBorders>
          </w:tcPr>
          <w:p w14:paraId="50CC4D11" w14:textId="77777777" w:rsidR="00645264" w:rsidRPr="0067267C" w:rsidRDefault="00645264" w:rsidP="00301191">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8B56C94"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3C150C00" w14:textId="77777777" w:rsidTr="00645264">
        <w:trPr>
          <w:trHeight w:val="20"/>
        </w:trPr>
        <w:tc>
          <w:tcPr>
            <w:tcW w:w="1843" w:type="dxa"/>
            <w:vMerge/>
            <w:tcBorders>
              <w:right w:val="single" w:sz="4" w:space="0" w:color="auto"/>
            </w:tcBorders>
          </w:tcPr>
          <w:p w14:paraId="4326F93A" w14:textId="77777777" w:rsidR="00645264" w:rsidRPr="00BE521D" w:rsidRDefault="00645264" w:rsidP="00301191">
            <w:pPr>
              <w:rPr>
                <w:rFonts w:ascii="Times New Roman" w:eastAsia="Calibri" w:hAnsi="Times New Roman" w:cs="Times New Roman"/>
                <w:sz w:val="20"/>
                <w:szCs w:val="20"/>
              </w:rPr>
            </w:pPr>
          </w:p>
        </w:tc>
        <w:tc>
          <w:tcPr>
            <w:tcW w:w="5670" w:type="dxa"/>
          </w:tcPr>
          <w:p w14:paraId="4933EB87"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Фильтры установлены на крышке и на дне, с внутренней стороны коробки, с помощью прижимов</w:t>
            </w:r>
          </w:p>
        </w:tc>
        <w:tc>
          <w:tcPr>
            <w:tcW w:w="567" w:type="dxa"/>
          </w:tcPr>
          <w:p w14:paraId="67DF827E" w14:textId="77777777" w:rsidR="00645264" w:rsidRPr="0067267C" w:rsidRDefault="00645264" w:rsidP="00301191">
            <w:pPr>
              <w:rPr>
                <w:rFonts w:ascii="Times New Roman" w:eastAsia="Calibri" w:hAnsi="Times New Roman" w:cs="Times New Roman"/>
                <w:sz w:val="20"/>
                <w:szCs w:val="20"/>
              </w:rPr>
            </w:pPr>
          </w:p>
        </w:tc>
        <w:tc>
          <w:tcPr>
            <w:tcW w:w="1559" w:type="dxa"/>
          </w:tcPr>
          <w:p w14:paraId="049DFD8F"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23FB04E6" w14:textId="77777777" w:rsidTr="00645264">
        <w:trPr>
          <w:trHeight w:val="20"/>
        </w:trPr>
        <w:tc>
          <w:tcPr>
            <w:tcW w:w="1843" w:type="dxa"/>
            <w:vMerge/>
            <w:tcBorders>
              <w:right w:val="single" w:sz="4" w:space="0" w:color="auto"/>
            </w:tcBorders>
          </w:tcPr>
          <w:p w14:paraId="0E7A268F" w14:textId="77777777" w:rsidR="00645264" w:rsidRPr="00BE521D" w:rsidRDefault="00645264" w:rsidP="00301191">
            <w:pPr>
              <w:rPr>
                <w:rFonts w:ascii="Times New Roman" w:eastAsia="Calibri" w:hAnsi="Times New Roman" w:cs="Times New Roman"/>
                <w:sz w:val="20"/>
                <w:szCs w:val="20"/>
              </w:rPr>
            </w:pPr>
          </w:p>
        </w:tc>
        <w:tc>
          <w:tcPr>
            <w:tcW w:w="5670" w:type="dxa"/>
          </w:tcPr>
          <w:p w14:paraId="7F25E528"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Условный объем коробки</w:t>
            </w:r>
          </w:p>
        </w:tc>
        <w:tc>
          <w:tcPr>
            <w:tcW w:w="567" w:type="dxa"/>
          </w:tcPr>
          <w:p w14:paraId="6BD52BFC" w14:textId="77777777" w:rsidR="00645264" w:rsidRPr="0067267C" w:rsidRDefault="00645264" w:rsidP="00301191">
            <w:pPr>
              <w:rPr>
                <w:rFonts w:ascii="Times New Roman" w:eastAsia="Calibri" w:hAnsi="Times New Roman" w:cs="Times New Roman"/>
                <w:sz w:val="20"/>
                <w:szCs w:val="20"/>
              </w:rPr>
            </w:pPr>
            <w:r w:rsidRPr="0067267C">
              <w:rPr>
                <w:rFonts w:ascii="Times New Roman" w:hAnsi="Times New Roman" w:cs="Times New Roman"/>
                <w:sz w:val="18"/>
                <w:szCs w:val="18"/>
              </w:rPr>
              <w:t>дм³</w:t>
            </w:r>
          </w:p>
        </w:tc>
        <w:tc>
          <w:tcPr>
            <w:tcW w:w="1559" w:type="dxa"/>
          </w:tcPr>
          <w:p w14:paraId="6C055782"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6</w:t>
            </w:r>
          </w:p>
        </w:tc>
      </w:tr>
      <w:tr w:rsidR="00645264" w:rsidRPr="0067267C" w14:paraId="1734301B" w14:textId="77777777" w:rsidTr="00645264">
        <w:trPr>
          <w:trHeight w:val="20"/>
        </w:trPr>
        <w:tc>
          <w:tcPr>
            <w:tcW w:w="1843" w:type="dxa"/>
            <w:vMerge/>
            <w:tcBorders>
              <w:right w:val="single" w:sz="4" w:space="0" w:color="auto"/>
            </w:tcBorders>
          </w:tcPr>
          <w:p w14:paraId="6FF7A9F8" w14:textId="77777777" w:rsidR="00645264" w:rsidRPr="00BE521D" w:rsidRDefault="00645264" w:rsidP="00301191">
            <w:pPr>
              <w:rPr>
                <w:rFonts w:ascii="Times New Roman" w:eastAsia="Calibri" w:hAnsi="Times New Roman" w:cs="Times New Roman"/>
                <w:sz w:val="20"/>
                <w:szCs w:val="20"/>
              </w:rPr>
            </w:pPr>
          </w:p>
        </w:tc>
        <w:tc>
          <w:tcPr>
            <w:tcW w:w="5670" w:type="dxa"/>
          </w:tcPr>
          <w:p w14:paraId="0B4074B3"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Диаметр коробки</w:t>
            </w:r>
          </w:p>
        </w:tc>
        <w:tc>
          <w:tcPr>
            <w:tcW w:w="567" w:type="dxa"/>
          </w:tcPr>
          <w:p w14:paraId="42C9B631" w14:textId="77777777" w:rsidR="00645264" w:rsidRPr="0067267C" w:rsidRDefault="00645264" w:rsidP="00301191">
            <w:pPr>
              <w:rPr>
                <w:rFonts w:ascii="Times New Roman" w:eastAsia="Calibri" w:hAnsi="Times New Roman" w:cs="Times New Roman"/>
                <w:sz w:val="20"/>
                <w:szCs w:val="20"/>
              </w:rPr>
            </w:pPr>
            <w:r w:rsidRPr="0067267C">
              <w:rPr>
                <w:rFonts w:ascii="Times New Roman" w:hAnsi="Times New Roman" w:cs="Times New Roman"/>
                <w:sz w:val="18"/>
                <w:szCs w:val="18"/>
              </w:rPr>
              <w:t>мм</w:t>
            </w:r>
          </w:p>
        </w:tc>
        <w:tc>
          <w:tcPr>
            <w:tcW w:w="1559" w:type="dxa"/>
          </w:tcPr>
          <w:p w14:paraId="4F5F545C"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xml:space="preserve">≥240 </w:t>
            </w:r>
            <w:proofErr w:type="gramStart"/>
            <w:r w:rsidRPr="0067267C">
              <w:rPr>
                <w:rFonts w:ascii="Times New Roman" w:hAnsi="Times New Roman" w:cs="Times New Roman"/>
                <w:sz w:val="18"/>
                <w:szCs w:val="18"/>
              </w:rPr>
              <w:t>и  ≤</w:t>
            </w:r>
            <w:proofErr w:type="gramEnd"/>
            <w:r w:rsidRPr="0067267C">
              <w:rPr>
                <w:rFonts w:ascii="Times New Roman" w:hAnsi="Times New Roman" w:cs="Times New Roman"/>
                <w:sz w:val="18"/>
                <w:szCs w:val="18"/>
              </w:rPr>
              <w:t xml:space="preserve"> 255</w:t>
            </w:r>
          </w:p>
        </w:tc>
      </w:tr>
      <w:tr w:rsidR="00645264" w:rsidRPr="0067267C" w14:paraId="372C18BC" w14:textId="77777777" w:rsidTr="00645264">
        <w:trPr>
          <w:trHeight w:val="20"/>
        </w:trPr>
        <w:tc>
          <w:tcPr>
            <w:tcW w:w="1843" w:type="dxa"/>
            <w:vMerge/>
            <w:tcBorders>
              <w:right w:val="single" w:sz="4" w:space="0" w:color="auto"/>
            </w:tcBorders>
          </w:tcPr>
          <w:p w14:paraId="482637C0" w14:textId="77777777" w:rsidR="00645264" w:rsidRPr="00BE521D" w:rsidRDefault="00645264" w:rsidP="00301191">
            <w:pPr>
              <w:rPr>
                <w:rFonts w:ascii="Times New Roman" w:eastAsia="Calibri" w:hAnsi="Times New Roman" w:cs="Times New Roman"/>
                <w:sz w:val="20"/>
                <w:szCs w:val="20"/>
              </w:rPr>
            </w:pPr>
          </w:p>
        </w:tc>
        <w:tc>
          <w:tcPr>
            <w:tcW w:w="5670" w:type="dxa"/>
          </w:tcPr>
          <w:p w14:paraId="7D35A693"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Высота коробки</w:t>
            </w:r>
          </w:p>
        </w:tc>
        <w:tc>
          <w:tcPr>
            <w:tcW w:w="567" w:type="dxa"/>
          </w:tcPr>
          <w:p w14:paraId="0E444FD7" w14:textId="77777777" w:rsidR="00645264" w:rsidRPr="0067267C" w:rsidRDefault="00645264" w:rsidP="00301191">
            <w:pPr>
              <w:rPr>
                <w:rFonts w:ascii="Times New Roman" w:eastAsia="Calibri" w:hAnsi="Times New Roman" w:cs="Times New Roman"/>
                <w:sz w:val="20"/>
                <w:szCs w:val="20"/>
              </w:rPr>
            </w:pPr>
            <w:r w:rsidRPr="0067267C">
              <w:rPr>
                <w:rFonts w:ascii="Times New Roman" w:hAnsi="Times New Roman" w:cs="Times New Roman"/>
                <w:sz w:val="18"/>
                <w:szCs w:val="18"/>
              </w:rPr>
              <w:t>мм</w:t>
            </w:r>
          </w:p>
        </w:tc>
        <w:tc>
          <w:tcPr>
            <w:tcW w:w="1559" w:type="dxa"/>
          </w:tcPr>
          <w:p w14:paraId="6DB79716"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xml:space="preserve">≥ 156 </w:t>
            </w:r>
            <w:proofErr w:type="gramStart"/>
            <w:r w:rsidRPr="0067267C">
              <w:rPr>
                <w:rFonts w:ascii="Times New Roman" w:hAnsi="Times New Roman" w:cs="Times New Roman"/>
                <w:sz w:val="18"/>
                <w:szCs w:val="18"/>
              </w:rPr>
              <w:t>и  ≤</w:t>
            </w:r>
            <w:proofErr w:type="gramEnd"/>
            <w:r w:rsidRPr="0067267C">
              <w:rPr>
                <w:rFonts w:ascii="Times New Roman" w:hAnsi="Times New Roman" w:cs="Times New Roman"/>
                <w:sz w:val="18"/>
                <w:szCs w:val="18"/>
              </w:rPr>
              <w:t xml:space="preserve">  170</w:t>
            </w:r>
          </w:p>
        </w:tc>
      </w:tr>
      <w:tr w:rsidR="00645264" w:rsidRPr="0067267C" w14:paraId="2C2A3417" w14:textId="77777777" w:rsidTr="00645264">
        <w:trPr>
          <w:trHeight w:val="20"/>
        </w:trPr>
        <w:tc>
          <w:tcPr>
            <w:tcW w:w="1843" w:type="dxa"/>
            <w:vMerge/>
            <w:tcBorders>
              <w:right w:val="single" w:sz="4" w:space="0" w:color="auto"/>
            </w:tcBorders>
          </w:tcPr>
          <w:p w14:paraId="31BDB3F2" w14:textId="77777777" w:rsidR="00645264" w:rsidRPr="00BE521D" w:rsidRDefault="00645264" w:rsidP="00301191">
            <w:pPr>
              <w:rPr>
                <w:rFonts w:ascii="Times New Roman" w:eastAsia="Calibri" w:hAnsi="Times New Roman" w:cs="Times New Roman"/>
                <w:sz w:val="20"/>
                <w:szCs w:val="20"/>
              </w:rPr>
            </w:pPr>
          </w:p>
        </w:tc>
        <w:tc>
          <w:tcPr>
            <w:tcW w:w="5670" w:type="dxa"/>
          </w:tcPr>
          <w:p w14:paraId="55AD27F9"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Масса коробки</w:t>
            </w:r>
          </w:p>
        </w:tc>
        <w:tc>
          <w:tcPr>
            <w:tcW w:w="567" w:type="dxa"/>
          </w:tcPr>
          <w:p w14:paraId="6EE36C39" w14:textId="77777777" w:rsidR="00645264" w:rsidRPr="0067267C" w:rsidRDefault="00645264" w:rsidP="00301191">
            <w:pPr>
              <w:rPr>
                <w:rFonts w:ascii="Times New Roman" w:eastAsia="Calibri" w:hAnsi="Times New Roman" w:cs="Times New Roman"/>
                <w:sz w:val="20"/>
                <w:szCs w:val="20"/>
              </w:rPr>
            </w:pPr>
            <w:r w:rsidRPr="0067267C">
              <w:rPr>
                <w:rFonts w:ascii="Times New Roman" w:hAnsi="Times New Roman" w:cs="Times New Roman"/>
                <w:sz w:val="18"/>
                <w:szCs w:val="18"/>
              </w:rPr>
              <w:t>кг</w:t>
            </w:r>
          </w:p>
        </w:tc>
        <w:tc>
          <w:tcPr>
            <w:tcW w:w="1559" w:type="dxa"/>
          </w:tcPr>
          <w:p w14:paraId="25BBAEB6"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xml:space="preserve">≥1,0 и </w:t>
            </w:r>
            <w:proofErr w:type="gramStart"/>
            <w:r w:rsidRPr="0067267C">
              <w:rPr>
                <w:rFonts w:ascii="Times New Roman" w:hAnsi="Times New Roman" w:cs="Times New Roman"/>
                <w:sz w:val="18"/>
                <w:szCs w:val="18"/>
              </w:rPr>
              <w:t>≤  2</w:t>
            </w:r>
            <w:proofErr w:type="gramEnd"/>
            <w:r w:rsidRPr="0067267C">
              <w:rPr>
                <w:rFonts w:ascii="Times New Roman" w:hAnsi="Times New Roman" w:cs="Times New Roman"/>
                <w:sz w:val="18"/>
                <w:szCs w:val="18"/>
              </w:rPr>
              <w:t>,25</w:t>
            </w:r>
          </w:p>
        </w:tc>
      </w:tr>
      <w:tr w:rsidR="00645264" w:rsidRPr="0067267C" w14:paraId="24A5531D" w14:textId="77777777" w:rsidTr="00645264">
        <w:trPr>
          <w:trHeight w:val="20"/>
        </w:trPr>
        <w:tc>
          <w:tcPr>
            <w:tcW w:w="1843" w:type="dxa"/>
            <w:vMerge/>
            <w:tcBorders>
              <w:right w:val="single" w:sz="4" w:space="0" w:color="auto"/>
            </w:tcBorders>
          </w:tcPr>
          <w:p w14:paraId="6A1D2421" w14:textId="77777777" w:rsidR="00645264" w:rsidRPr="00BE521D" w:rsidRDefault="00645264" w:rsidP="00301191">
            <w:pPr>
              <w:rPr>
                <w:rFonts w:ascii="Times New Roman" w:eastAsia="Calibri" w:hAnsi="Times New Roman" w:cs="Times New Roman"/>
                <w:sz w:val="20"/>
                <w:szCs w:val="20"/>
              </w:rPr>
            </w:pPr>
          </w:p>
        </w:tc>
        <w:tc>
          <w:tcPr>
            <w:tcW w:w="5670" w:type="dxa"/>
          </w:tcPr>
          <w:p w14:paraId="7AFFF4A7"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b/>
                <w:sz w:val="18"/>
                <w:szCs w:val="18"/>
              </w:rPr>
              <w:t>Принадлежности к коробке, сменные части:</w:t>
            </w:r>
          </w:p>
        </w:tc>
        <w:tc>
          <w:tcPr>
            <w:tcW w:w="567" w:type="dxa"/>
          </w:tcPr>
          <w:p w14:paraId="4859B5BC" w14:textId="77777777" w:rsidR="00645264" w:rsidRPr="0067267C" w:rsidRDefault="00645264" w:rsidP="00301191">
            <w:pPr>
              <w:rPr>
                <w:rFonts w:ascii="Times New Roman" w:eastAsia="Calibri" w:hAnsi="Times New Roman" w:cs="Times New Roman"/>
                <w:sz w:val="20"/>
                <w:szCs w:val="20"/>
              </w:rPr>
            </w:pPr>
          </w:p>
        </w:tc>
        <w:tc>
          <w:tcPr>
            <w:tcW w:w="1559" w:type="dxa"/>
          </w:tcPr>
          <w:p w14:paraId="349DCBEF" w14:textId="77777777" w:rsidR="00645264" w:rsidRPr="0067267C" w:rsidRDefault="00645264" w:rsidP="00301191">
            <w:pPr>
              <w:rPr>
                <w:rFonts w:ascii="Times New Roman" w:hAnsi="Times New Roman"/>
                <w:sz w:val="18"/>
                <w:szCs w:val="18"/>
              </w:rPr>
            </w:pPr>
          </w:p>
        </w:tc>
      </w:tr>
      <w:tr w:rsidR="00645264" w:rsidRPr="0067267C" w14:paraId="1F66F4B3" w14:textId="77777777" w:rsidTr="00645264">
        <w:trPr>
          <w:trHeight w:val="20"/>
        </w:trPr>
        <w:tc>
          <w:tcPr>
            <w:tcW w:w="1843" w:type="dxa"/>
            <w:vMerge/>
            <w:tcBorders>
              <w:right w:val="single" w:sz="4" w:space="0" w:color="auto"/>
            </w:tcBorders>
          </w:tcPr>
          <w:p w14:paraId="7572375B" w14:textId="77777777" w:rsidR="00645264" w:rsidRPr="00BE521D" w:rsidRDefault="00645264" w:rsidP="00301191">
            <w:pPr>
              <w:rPr>
                <w:rFonts w:ascii="Times New Roman" w:eastAsia="Calibri" w:hAnsi="Times New Roman" w:cs="Times New Roman"/>
                <w:sz w:val="20"/>
                <w:szCs w:val="20"/>
              </w:rPr>
            </w:pPr>
          </w:p>
        </w:tc>
        <w:tc>
          <w:tcPr>
            <w:tcW w:w="5670" w:type="dxa"/>
          </w:tcPr>
          <w:p w14:paraId="39C28443"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Запас сменных фильтров, предназначенных для оснащения коробок в соответствии с правилами эксплуатации и увеличения срока службы изделий</w:t>
            </w:r>
          </w:p>
        </w:tc>
        <w:tc>
          <w:tcPr>
            <w:tcW w:w="567" w:type="dxa"/>
          </w:tcPr>
          <w:p w14:paraId="7658CEE3" w14:textId="77777777" w:rsidR="00645264" w:rsidRPr="0067267C" w:rsidRDefault="00645264" w:rsidP="00301191">
            <w:pPr>
              <w:rPr>
                <w:rFonts w:ascii="Times New Roman" w:eastAsia="Calibri" w:hAnsi="Times New Roman" w:cs="Times New Roman"/>
                <w:sz w:val="20"/>
                <w:szCs w:val="20"/>
              </w:rPr>
            </w:pPr>
          </w:p>
        </w:tc>
        <w:tc>
          <w:tcPr>
            <w:tcW w:w="1559" w:type="dxa"/>
          </w:tcPr>
          <w:p w14:paraId="4805BE6B"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r w:rsidR="00645264" w:rsidRPr="0067267C" w14:paraId="2424DE88" w14:textId="77777777" w:rsidTr="00645264">
        <w:trPr>
          <w:trHeight w:val="20"/>
        </w:trPr>
        <w:tc>
          <w:tcPr>
            <w:tcW w:w="1843" w:type="dxa"/>
            <w:vMerge/>
            <w:tcBorders>
              <w:right w:val="single" w:sz="4" w:space="0" w:color="auto"/>
            </w:tcBorders>
          </w:tcPr>
          <w:p w14:paraId="4BC64B19" w14:textId="77777777" w:rsidR="00645264" w:rsidRPr="00BE521D" w:rsidRDefault="00645264" w:rsidP="00301191">
            <w:pPr>
              <w:rPr>
                <w:rFonts w:ascii="Times New Roman" w:eastAsia="Calibri" w:hAnsi="Times New Roman" w:cs="Times New Roman"/>
                <w:sz w:val="20"/>
                <w:szCs w:val="20"/>
              </w:rPr>
            </w:pPr>
          </w:p>
        </w:tc>
        <w:tc>
          <w:tcPr>
            <w:tcW w:w="5670" w:type="dxa"/>
          </w:tcPr>
          <w:p w14:paraId="113BD048"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Количество сменных фильтров</w:t>
            </w:r>
          </w:p>
        </w:tc>
        <w:tc>
          <w:tcPr>
            <w:tcW w:w="567" w:type="dxa"/>
          </w:tcPr>
          <w:p w14:paraId="3EB21799" w14:textId="77777777" w:rsidR="00645264" w:rsidRPr="0067267C" w:rsidRDefault="00645264" w:rsidP="00301191">
            <w:pPr>
              <w:rPr>
                <w:rFonts w:ascii="Times New Roman" w:eastAsia="Calibri" w:hAnsi="Times New Roman" w:cs="Times New Roman"/>
                <w:sz w:val="20"/>
                <w:szCs w:val="20"/>
              </w:rPr>
            </w:pPr>
          </w:p>
        </w:tc>
        <w:tc>
          <w:tcPr>
            <w:tcW w:w="1559" w:type="dxa"/>
          </w:tcPr>
          <w:p w14:paraId="51402053"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2</w:t>
            </w:r>
          </w:p>
        </w:tc>
      </w:tr>
      <w:tr w:rsidR="00645264" w:rsidRPr="0067267C" w14:paraId="32E52078" w14:textId="77777777" w:rsidTr="00645264">
        <w:trPr>
          <w:trHeight w:val="20"/>
        </w:trPr>
        <w:tc>
          <w:tcPr>
            <w:tcW w:w="1843" w:type="dxa"/>
            <w:vMerge/>
            <w:tcBorders>
              <w:right w:val="single" w:sz="4" w:space="0" w:color="auto"/>
            </w:tcBorders>
          </w:tcPr>
          <w:p w14:paraId="3579BABC" w14:textId="77777777" w:rsidR="00645264" w:rsidRPr="00BE521D" w:rsidRDefault="00645264" w:rsidP="00301191">
            <w:pPr>
              <w:rPr>
                <w:rFonts w:ascii="Times New Roman" w:eastAsia="Calibri" w:hAnsi="Times New Roman" w:cs="Times New Roman"/>
                <w:sz w:val="20"/>
                <w:szCs w:val="20"/>
              </w:rPr>
            </w:pPr>
          </w:p>
        </w:tc>
        <w:tc>
          <w:tcPr>
            <w:tcW w:w="5670" w:type="dxa"/>
          </w:tcPr>
          <w:p w14:paraId="19FD8209"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Диаметр фильтров</w:t>
            </w:r>
          </w:p>
        </w:tc>
        <w:tc>
          <w:tcPr>
            <w:tcW w:w="567" w:type="dxa"/>
          </w:tcPr>
          <w:p w14:paraId="2D724E8A" w14:textId="77777777" w:rsidR="00645264" w:rsidRPr="0067267C" w:rsidRDefault="00645264" w:rsidP="00301191">
            <w:pPr>
              <w:rPr>
                <w:rFonts w:ascii="Times New Roman" w:eastAsia="Calibri" w:hAnsi="Times New Roman" w:cs="Times New Roman"/>
                <w:sz w:val="20"/>
                <w:szCs w:val="20"/>
              </w:rPr>
            </w:pPr>
            <w:r w:rsidRPr="0067267C">
              <w:rPr>
                <w:rFonts w:ascii="Times New Roman" w:hAnsi="Times New Roman" w:cs="Times New Roman"/>
                <w:sz w:val="18"/>
                <w:szCs w:val="18"/>
              </w:rPr>
              <w:t>мм</w:t>
            </w:r>
          </w:p>
        </w:tc>
        <w:tc>
          <w:tcPr>
            <w:tcW w:w="1559" w:type="dxa"/>
          </w:tcPr>
          <w:p w14:paraId="153BD19D"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xml:space="preserve">≥135 </w:t>
            </w:r>
            <w:proofErr w:type="gramStart"/>
            <w:r w:rsidRPr="0067267C">
              <w:rPr>
                <w:rFonts w:ascii="Times New Roman" w:hAnsi="Times New Roman" w:cs="Times New Roman"/>
                <w:sz w:val="18"/>
                <w:szCs w:val="18"/>
              </w:rPr>
              <w:t>и  ≤</w:t>
            </w:r>
            <w:proofErr w:type="gramEnd"/>
            <w:r w:rsidRPr="0067267C">
              <w:rPr>
                <w:rFonts w:ascii="Times New Roman" w:hAnsi="Times New Roman" w:cs="Times New Roman"/>
                <w:sz w:val="18"/>
                <w:szCs w:val="18"/>
              </w:rPr>
              <w:t xml:space="preserve"> 215</w:t>
            </w:r>
          </w:p>
        </w:tc>
      </w:tr>
      <w:tr w:rsidR="00645264" w:rsidRPr="0067267C" w14:paraId="4D032C13" w14:textId="77777777" w:rsidTr="00645264">
        <w:trPr>
          <w:trHeight w:val="20"/>
        </w:trPr>
        <w:tc>
          <w:tcPr>
            <w:tcW w:w="1843" w:type="dxa"/>
            <w:vMerge/>
            <w:tcBorders>
              <w:right w:val="single" w:sz="4" w:space="0" w:color="auto"/>
            </w:tcBorders>
          </w:tcPr>
          <w:p w14:paraId="1B1B6A6C" w14:textId="77777777" w:rsidR="00645264" w:rsidRPr="00BE521D" w:rsidRDefault="00645264" w:rsidP="00301191">
            <w:pPr>
              <w:rPr>
                <w:rFonts w:ascii="Times New Roman" w:eastAsia="Calibri" w:hAnsi="Times New Roman" w:cs="Times New Roman"/>
                <w:sz w:val="20"/>
                <w:szCs w:val="20"/>
              </w:rPr>
            </w:pPr>
          </w:p>
        </w:tc>
        <w:tc>
          <w:tcPr>
            <w:tcW w:w="5670" w:type="dxa"/>
          </w:tcPr>
          <w:p w14:paraId="05CE6803"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Гарантийный срок</w:t>
            </w:r>
          </w:p>
        </w:tc>
        <w:tc>
          <w:tcPr>
            <w:tcW w:w="567" w:type="dxa"/>
          </w:tcPr>
          <w:p w14:paraId="5A78E619" w14:textId="77777777" w:rsidR="00645264" w:rsidRPr="0067267C" w:rsidRDefault="00645264" w:rsidP="00301191">
            <w:pPr>
              <w:rPr>
                <w:rFonts w:ascii="Times New Roman" w:eastAsia="Calibri" w:hAnsi="Times New Roman" w:cs="Times New Roman"/>
                <w:sz w:val="20"/>
                <w:szCs w:val="20"/>
              </w:rPr>
            </w:pPr>
            <w:proofErr w:type="spellStart"/>
            <w:r w:rsidRPr="0067267C">
              <w:rPr>
                <w:rFonts w:ascii="Times New Roman" w:hAnsi="Times New Roman" w:cs="Times New Roman"/>
                <w:sz w:val="18"/>
                <w:szCs w:val="18"/>
              </w:rPr>
              <w:t>мес</w:t>
            </w:r>
            <w:proofErr w:type="spellEnd"/>
          </w:p>
        </w:tc>
        <w:tc>
          <w:tcPr>
            <w:tcW w:w="1559" w:type="dxa"/>
          </w:tcPr>
          <w:p w14:paraId="6B2030F6"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Не менее 12</w:t>
            </w:r>
          </w:p>
        </w:tc>
      </w:tr>
      <w:tr w:rsidR="00645264" w:rsidRPr="0067267C" w14:paraId="770F29FD" w14:textId="77777777" w:rsidTr="00645264">
        <w:trPr>
          <w:trHeight w:val="20"/>
        </w:trPr>
        <w:tc>
          <w:tcPr>
            <w:tcW w:w="1843" w:type="dxa"/>
            <w:vMerge/>
            <w:tcBorders>
              <w:right w:val="single" w:sz="4" w:space="0" w:color="auto"/>
            </w:tcBorders>
          </w:tcPr>
          <w:p w14:paraId="0DBEC586" w14:textId="77777777" w:rsidR="00645264" w:rsidRPr="00BE521D" w:rsidRDefault="00645264" w:rsidP="00301191">
            <w:pPr>
              <w:rPr>
                <w:rFonts w:ascii="Times New Roman" w:eastAsia="Calibri" w:hAnsi="Times New Roman" w:cs="Times New Roman"/>
                <w:sz w:val="20"/>
                <w:szCs w:val="20"/>
              </w:rPr>
            </w:pPr>
          </w:p>
        </w:tc>
        <w:tc>
          <w:tcPr>
            <w:tcW w:w="5670" w:type="dxa"/>
          </w:tcPr>
          <w:p w14:paraId="6AAC5961"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 xml:space="preserve">Эксплуатационно-техническая </w:t>
            </w:r>
            <w:proofErr w:type="gramStart"/>
            <w:r w:rsidRPr="0067267C">
              <w:rPr>
                <w:rFonts w:ascii="Times New Roman" w:hAnsi="Times New Roman" w:cs="Times New Roman"/>
                <w:sz w:val="18"/>
                <w:szCs w:val="18"/>
              </w:rPr>
              <w:t>документация  на</w:t>
            </w:r>
            <w:proofErr w:type="gramEnd"/>
            <w:r w:rsidRPr="0067267C">
              <w:rPr>
                <w:rFonts w:ascii="Times New Roman" w:hAnsi="Times New Roman" w:cs="Times New Roman"/>
                <w:sz w:val="18"/>
                <w:szCs w:val="18"/>
              </w:rPr>
              <w:t xml:space="preserve"> русском языке</w:t>
            </w:r>
          </w:p>
        </w:tc>
        <w:tc>
          <w:tcPr>
            <w:tcW w:w="567" w:type="dxa"/>
          </w:tcPr>
          <w:p w14:paraId="70EDC4D0" w14:textId="77777777" w:rsidR="00645264" w:rsidRPr="0067267C" w:rsidRDefault="00645264" w:rsidP="00301191">
            <w:pPr>
              <w:rPr>
                <w:rFonts w:ascii="Times New Roman" w:eastAsia="Calibri" w:hAnsi="Times New Roman" w:cs="Times New Roman"/>
                <w:sz w:val="20"/>
                <w:szCs w:val="20"/>
              </w:rPr>
            </w:pPr>
          </w:p>
        </w:tc>
        <w:tc>
          <w:tcPr>
            <w:tcW w:w="1559" w:type="dxa"/>
          </w:tcPr>
          <w:p w14:paraId="6CA452F3"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 xml:space="preserve">Наличие </w:t>
            </w:r>
          </w:p>
        </w:tc>
      </w:tr>
      <w:tr w:rsidR="00645264" w:rsidRPr="0067267C" w14:paraId="19946F8C" w14:textId="77777777" w:rsidTr="00645264">
        <w:trPr>
          <w:trHeight w:val="20"/>
        </w:trPr>
        <w:tc>
          <w:tcPr>
            <w:tcW w:w="1843" w:type="dxa"/>
            <w:vMerge/>
            <w:tcBorders>
              <w:right w:val="single" w:sz="4" w:space="0" w:color="auto"/>
            </w:tcBorders>
          </w:tcPr>
          <w:p w14:paraId="1BCAB68A" w14:textId="77777777" w:rsidR="00645264" w:rsidRPr="00BE521D" w:rsidRDefault="00645264" w:rsidP="00301191">
            <w:pPr>
              <w:rPr>
                <w:rFonts w:ascii="Times New Roman" w:eastAsia="Calibri" w:hAnsi="Times New Roman" w:cs="Times New Roman"/>
                <w:sz w:val="20"/>
                <w:szCs w:val="20"/>
              </w:rPr>
            </w:pPr>
          </w:p>
        </w:tc>
        <w:tc>
          <w:tcPr>
            <w:tcW w:w="5670" w:type="dxa"/>
          </w:tcPr>
          <w:p w14:paraId="4AC987B3" w14:textId="77777777" w:rsidR="00645264" w:rsidRPr="0067267C" w:rsidRDefault="00645264" w:rsidP="00301191">
            <w:pPr>
              <w:textAlignment w:val="baseline"/>
              <w:rPr>
                <w:rFonts w:ascii="Times New Roman" w:hAnsi="Times New Roman"/>
                <w:sz w:val="18"/>
                <w:szCs w:val="18"/>
              </w:rPr>
            </w:pPr>
            <w:r w:rsidRPr="0067267C">
              <w:rPr>
                <w:rFonts w:ascii="Times New Roman" w:hAnsi="Times New Roman" w:cs="Times New Roman"/>
                <w:sz w:val="18"/>
                <w:szCs w:val="18"/>
              </w:rPr>
              <w:t xml:space="preserve">Регистрационное </w:t>
            </w:r>
            <w:proofErr w:type="gramStart"/>
            <w:r w:rsidRPr="0067267C">
              <w:rPr>
                <w:rFonts w:ascii="Times New Roman" w:hAnsi="Times New Roman" w:cs="Times New Roman"/>
                <w:sz w:val="18"/>
                <w:szCs w:val="18"/>
              </w:rPr>
              <w:t>Удостоверение  Росздравнадзора</w:t>
            </w:r>
            <w:proofErr w:type="gramEnd"/>
            <w:r w:rsidRPr="0067267C">
              <w:rPr>
                <w:rFonts w:ascii="Times New Roman" w:hAnsi="Times New Roman" w:cs="Times New Roman"/>
                <w:sz w:val="18"/>
                <w:szCs w:val="18"/>
              </w:rPr>
              <w:t xml:space="preserve"> РФ</w:t>
            </w:r>
          </w:p>
        </w:tc>
        <w:tc>
          <w:tcPr>
            <w:tcW w:w="567" w:type="dxa"/>
          </w:tcPr>
          <w:p w14:paraId="3067C761" w14:textId="77777777" w:rsidR="00645264" w:rsidRPr="0067267C" w:rsidRDefault="00645264" w:rsidP="00301191">
            <w:pPr>
              <w:rPr>
                <w:rFonts w:ascii="Times New Roman" w:eastAsia="Calibri" w:hAnsi="Times New Roman" w:cs="Times New Roman"/>
                <w:sz w:val="20"/>
                <w:szCs w:val="20"/>
              </w:rPr>
            </w:pPr>
          </w:p>
        </w:tc>
        <w:tc>
          <w:tcPr>
            <w:tcW w:w="1559" w:type="dxa"/>
          </w:tcPr>
          <w:p w14:paraId="1858968D" w14:textId="77777777" w:rsidR="00645264" w:rsidRPr="0067267C" w:rsidRDefault="00645264" w:rsidP="00301191">
            <w:pPr>
              <w:rPr>
                <w:rFonts w:ascii="Times New Roman" w:hAnsi="Times New Roman"/>
                <w:sz w:val="18"/>
                <w:szCs w:val="18"/>
              </w:rPr>
            </w:pPr>
            <w:r w:rsidRPr="0067267C">
              <w:rPr>
                <w:rFonts w:ascii="Times New Roman" w:hAnsi="Times New Roman" w:cs="Times New Roman"/>
                <w:sz w:val="18"/>
                <w:szCs w:val="18"/>
              </w:rPr>
              <w:t>Наличие</w:t>
            </w:r>
          </w:p>
        </w:tc>
      </w:tr>
    </w:tbl>
    <w:p w14:paraId="4663E7C8" w14:textId="77777777" w:rsidR="004460ED" w:rsidRDefault="004460ED"/>
    <w:sectPr w:rsidR="0044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75"/>
    <w:rsid w:val="004460ED"/>
    <w:rsid w:val="00645264"/>
    <w:rsid w:val="00B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43B56-45EB-4AC7-9A2B-AEF56668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264"/>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39"/>
    <w:rsid w:val="0064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4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2024-06-27T10:50:00Z</dcterms:created>
  <dcterms:modified xsi:type="dcterms:W3CDTF">2024-06-27T10:51:00Z</dcterms:modified>
</cp:coreProperties>
</file>